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29EE750E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C74C3C" w:rsidRPr="0003067E">
        <w:rPr>
          <w:sz w:val="20"/>
          <w:szCs w:val="20"/>
        </w:rPr>
        <w:t>Промышленное и гражданское строительство</w:t>
      </w:r>
      <w:r w:rsidR="00C74C3C" w:rsidRPr="00A11E4B">
        <w:rPr>
          <w:sz w:val="20"/>
          <w:szCs w:val="20"/>
        </w:rPr>
        <w:t xml:space="preserve">» в объеме </w:t>
      </w:r>
      <w:r w:rsidR="00C74C3C">
        <w:rPr>
          <w:sz w:val="20"/>
          <w:szCs w:val="20"/>
        </w:rPr>
        <w:t>256</w:t>
      </w:r>
      <w:r w:rsidR="00C74C3C" w:rsidRPr="00A11E4B">
        <w:rPr>
          <w:sz w:val="20"/>
          <w:szCs w:val="20"/>
        </w:rPr>
        <w:t xml:space="preserve"> </w:t>
      </w:r>
      <w:proofErr w:type="spellStart"/>
      <w:r w:rsidR="00C74C3C" w:rsidRPr="00A11E4B">
        <w:rPr>
          <w:sz w:val="20"/>
          <w:szCs w:val="20"/>
        </w:rPr>
        <w:t>ак</w:t>
      </w:r>
      <w:proofErr w:type="spellEnd"/>
      <w:r w:rsidR="00C74C3C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55CD" w14:textId="77777777" w:rsidR="00F739A7" w:rsidRDefault="00F739A7" w:rsidP="00996614">
      <w:pPr>
        <w:spacing w:after="0" w:line="240" w:lineRule="auto"/>
      </w:pPr>
      <w:r>
        <w:separator/>
      </w:r>
    </w:p>
  </w:endnote>
  <w:endnote w:type="continuationSeparator" w:id="0">
    <w:p w14:paraId="4AB48723" w14:textId="77777777" w:rsidR="00F739A7" w:rsidRDefault="00F739A7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2A73" w14:textId="77777777" w:rsidR="00F739A7" w:rsidRDefault="00F739A7" w:rsidP="00996614">
      <w:pPr>
        <w:spacing w:after="0" w:line="240" w:lineRule="auto"/>
      </w:pPr>
      <w:r>
        <w:separator/>
      </w:r>
    </w:p>
  </w:footnote>
  <w:footnote w:type="continuationSeparator" w:id="0">
    <w:p w14:paraId="267A042E" w14:textId="77777777" w:rsidR="00F739A7" w:rsidRDefault="00F739A7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83BE0"/>
    <w:rsid w:val="00795276"/>
    <w:rsid w:val="00796B4F"/>
    <w:rsid w:val="007B4499"/>
    <w:rsid w:val="007E4491"/>
    <w:rsid w:val="007F07CA"/>
    <w:rsid w:val="007F72F7"/>
    <w:rsid w:val="00810F4C"/>
    <w:rsid w:val="00851124"/>
    <w:rsid w:val="008708E5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39A7"/>
    <w:rsid w:val="00F768A3"/>
    <w:rsid w:val="00F81680"/>
    <w:rsid w:val="00F83376"/>
    <w:rsid w:val="00F928CD"/>
    <w:rsid w:val="00F9636E"/>
    <w:rsid w:val="00FA3539"/>
    <w:rsid w:val="00FA4177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2D56-0887-4674-9105-9501415E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2022-06-28T16:18:00Z</dcterms:created>
  <dcterms:modified xsi:type="dcterms:W3CDTF">2022-06-28T16:19:00Z</dcterms:modified>
</cp:coreProperties>
</file>